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3"/>
        <w:spacing w:lineRule="auto" w:line="240" w:before="0" w:after="0"/>
        <w:ind w:left="0" w:right="0" w:firstLine="683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cs="Times New Roman" w:ascii="Liberation Serif" w:hAnsi="Liberation Serif"/>
          <w:b/>
          <w:bCs/>
          <w:color w:val="000000"/>
          <w:sz w:val="28"/>
          <w:szCs w:val="28"/>
          <w:shd w:fill="FFFFFF" w:val="clear"/>
        </w:rPr>
        <w:t>РЕЙТИНГ ГТО ЗА I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  <w:shd w:fill="FFFFFF" w:val="clear"/>
        </w:rPr>
        <w:t>V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  <w:shd w:fill="FFFFFF" w:val="clear"/>
        </w:rPr>
        <w:t xml:space="preserve"> КВАРТАЛ 2022 ГОДА: </w:t>
      </w:r>
    </w:p>
    <w:p>
      <w:pPr>
        <w:pStyle w:val="3"/>
        <w:spacing w:lineRule="auto" w:line="240" w:before="0" w:after="0"/>
        <w:ind w:left="0" w:right="0" w:firstLine="683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caps/>
          <w:color w:val="000000"/>
          <w:sz w:val="28"/>
          <w:szCs w:val="28"/>
          <w:highlight w:val="lightGray"/>
        </w:rPr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По итогам I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V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 квартала 2022 года тройка регионов РФ - лидеров внедрения комплекса ГТО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несколько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изменилась: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Первое место - Воронежская область.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Второе место - Белгородская область.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Третье место —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Ямало-Ненецкий А.О.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Костромская область,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еще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улучши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ла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 свою позицию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и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поднялась с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6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 xml:space="preserve">-го на 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4</w:t>
      </w: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-е место!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rFonts w:ascii="Liberation Serif" w:hAnsi="Liberation Serif"/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ascii="Liberation Serif" w:hAnsi="Liberation Serif"/>
          <w:b w:val="false"/>
          <w:bCs w:val="false"/>
          <w:i/>
          <w:iCs/>
          <w:caps w:val="false"/>
          <w:smallCaps w:val="false"/>
          <w:color w:val="000000"/>
          <w:spacing w:val="0"/>
          <w:sz w:val="28"/>
          <w:szCs w:val="28"/>
        </w:rPr>
        <w:t>До призового места не хватило 8 баллов!</w:t>
      </w:r>
    </w:p>
    <w:p>
      <w:pPr>
        <w:pStyle w:val="Style15"/>
        <w:widowControl/>
        <w:spacing w:lineRule="auto" w:line="240" w:before="0" w:after="0"/>
        <w:ind w:left="0" w:right="0" w:firstLine="683"/>
        <w:jc w:val="both"/>
        <w:rPr>
          <w:caps w:val="false"/>
          <w:smallCaps w:val="false"/>
          <w:color w:val="000000"/>
          <w:spacing w:val="0"/>
        </w:rPr>
      </w:pPr>
      <w:r>
        <w:rPr>
          <w:caps w:val="false"/>
          <w:smallCaps w:val="false"/>
          <w:color w:val="000000"/>
          <w:spacing w:val="0"/>
        </w:rPr>
      </w:r>
    </w:p>
    <w:p>
      <w:pPr>
        <w:pStyle w:val="Style19"/>
        <w:spacing w:lineRule="auto" w:line="240" w:before="0" w:after="0"/>
        <w:ind w:left="0" w:right="0" w:firstLine="68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В целях анализа динамики проведем сравнение всех критериев рейтинга с предыдущим кварталом (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I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I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I</w:t>
      </w:r>
      <w:r>
        <w:rPr>
          <w:rFonts w:ascii="Liberation Serif" w:hAnsi="Liberation Serif"/>
          <w:color w:val="000000"/>
          <w:sz w:val="28"/>
          <w:szCs w:val="28"/>
        </w:rPr>
        <w:t xml:space="preserve"> квартал 2022 года).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№1.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зарегистрированного в ЭБД ВФСК ГТО, от общей численности населения в возрасте от 6 лет, проживающего на территории субъекта Российской Федерации -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увеличился с 20,10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20,92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%, число баллов не изменилось — 72.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Критерий №2 (квартальный прирост Критерия №1).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зарегистрированного в ЭБД ВФСК ГТО по итогам отчетного квартала, от общей численности населения в возрасте от 6 лет, проживающего на территории субъекта Российской Федерации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 xml:space="preserve">увеличился с 0,53% 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до 0,82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, число баллов у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меньшилось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 xml:space="preserve"> с 71 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до 66</w:t>
      </w:r>
      <w:r>
        <w:rPr>
          <w:rFonts w:cs="Times New Roman"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№3.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принявшего участие в выполнении нормативов испытаний (тестов) комплекса ГТО от общей численности населения, проживающего на территории субъекта Российской Федерации, зарегистрированного в ЭБД ВФСК ГТО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/>
          <w:b/>
          <w:bCs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>у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величился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 с 64,53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66,81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%, число баллов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увеличилось с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60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64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№4 (квартальный прирост Критерия №3).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принявшего участие в выполнении нормативов испытаний (тестов) комплекса ГТО, за квартал от общей численности населения, проживающего на территории субъекта Российской Федерации, зарегистрированного в базе данных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/>
          <w:b/>
          <w:bCs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>у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величился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 с 1,60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10,73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%, число баллов увеличилось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с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33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79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№5.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выполнившего нормативы испытаний (тестов) комплекса ГТО на знаки отличия, от общей численности населения, проживающего на территории субъекта Российской Федерации в возрасте от 6 лет -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увеличился с 10,86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13,30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%, число баллов у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меньшилось с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82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81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№6 (квартальный прирост критерия №5).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выполнившего нормативы испытаний (тестов) комплекса ГТО на знаки отличия за квартал, от общей численности населения, проживающего на территории субъекта Российской Федерации в возрасте от 6 лет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/>
          <w:b/>
          <w:bCs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>у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величился с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0,15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2,44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%, число баллов увеличилось с 73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80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№7.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выполнившего нормативы испытаний (тестов) комплекса ГТО на знаки отличия, от общей численности населения, принявшего участие в выполнении нормативов испытаний (тестов) комплекса ГТО за весь период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увеличился с 83,73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95,20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%, число баллов не изменилось — 85!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b/>
          <w:bCs/>
          <w:color w:val="000000"/>
          <w:u w:val="single"/>
        </w:rPr>
      </w:r>
    </w:p>
    <w:p>
      <w:pPr>
        <w:pStyle w:val="Normal"/>
        <w:spacing w:lineRule="auto" w:line="240" w:before="0" w:after="0"/>
        <w:ind w:left="0" w:right="0" w:firstLine="68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  <w:u w:val="single"/>
        </w:rPr>
        <w:t>Да, больше и некуда!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  <w:u w:val="single"/>
        </w:rPr>
        <w:t>П</w:t>
      </w:r>
      <w:r>
        <w:rPr>
          <w:rFonts w:ascii="Liberation Serif" w:hAnsi="Liberation Serif"/>
          <w:b/>
          <w:bCs/>
          <w:color w:val="000000"/>
          <w:sz w:val="28"/>
          <w:szCs w:val="28"/>
          <w:u w:val="single"/>
        </w:rPr>
        <w:t xml:space="preserve">о данному критерию Костромская область </w:t>
      </w:r>
      <w:r>
        <w:rPr>
          <w:rFonts w:ascii="Liberation Serif" w:hAnsi="Liberation Serif"/>
          <w:b/>
          <w:bCs/>
          <w:color w:val="000000"/>
          <w:sz w:val="28"/>
          <w:szCs w:val="28"/>
          <w:u w:val="single"/>
        </w:rPr>
        <w:t>пятый</w:t>
      </w:r>
      <w:r>
        <w:rPr>
          <w:rFonts w:ascii="Liberation Serif" w:hAnsi="Liberation Serif"/>
          <w:b/>
          <w:bCs/>
          <w:color w:val="000000"/>
          <w:sz w:val="28"/>
          <w:szCs w:val="28"/>
          <w:u w:val="single"/>
        </w:rPr>
        <w:t xml:space="preserve"> квартал подряд — лучшая в России!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№8.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Доля населения, проживающего на территории субъекта Российской Федерации, в возрасте от 6 лет, приходящегося на одну ставку штатного расписания центров тестирования (или структурных подразделений организаций, наделенных правом по оценке выполнения нормативов испытаний (тестов) комплекса ГТО) для оказания государственной услуги населению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/>
          <w:b/>
          <w:bCs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увеличился с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0,40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0,42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 xml:space="preserve">%, число баллов уменьшилось с 74 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до 73</w:t>
      </w:r>
      <w:r>
        <w:rPr>
          <w:rFonts w:ascii="Liberation Serif" w:hAnsi="Liberation Serif"/>
          <w:b/>
          <w:bCs/>
          <w:color w:val="000000"/>
          <w:sz w:val="28"/>
          <w:szCs w:val="28"/>
        </w:rPr>
        <w:t>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 xml:space="preserve">Критерий №9.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Количество опубликованных материалов по вопросам внедрения комплекса ГТО в региональных средствах массовой информации за оцениваемый период, от численности населения проживающего на территории субъекта Российской Федерации в возрасте от 6 лет – 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b w:val="false"/>
          <w:b w:val="false"/>
          <w:bCs w:val="false"/>
        </w:rPr>
      </w:pP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>у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>меньшился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 xml:space="preserve"> с 0,1690 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>до 0,1324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 xml:space="preserve">%, число баллов 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>уменьшилось с 84 до 81.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>Вывод: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1. </w:t>
      </w:r>
      <w:r>
        <w:rPr>
          <w:rFonts w:ascii="Liberation Serif" w:hAnsi="Liberation Serif"/>
          <w:color w:val="000000"/>
          <w:sz w:val="28"/>
          <w:szCs w:val="28"/>
        </w:rPr>
        <w:t xml:space="preserve">Костромская область сумела улучшить позицию в рейтинге благодаря увеличению </w:t>
      </w:r>
      <w:r>
        <w:rPr>
          <w:rFonts w:ascii="Liberation Serif" w:hAnsi="Liberation Serif"/>
          <w:color w:val="000000"/>
          <w:sz w:val="28"/>
          <w:szCs w:val="28"/>
        </w:rPr>
        <w:t xml:space="preserve">показателей по </w:t>
      </w:r>
      <w:r>
        <w:rPr>
          <w:rFonts w:ascii="Liberation Serif" w:hAnsi="Liberation Serif"/>
          <w:color w:val="000000"/>
          <w:sz w:val="28"/>
          <w:szCs w:val="28"/>
        </w:rPr>
        <w:t>первым восьми критериям.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2. Несмотря на увеличение натуральных показателей, число баллов уменьшилось по трем критериям и не изменилось по двум критериям: другие регионы отработали активнее.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3. </w:t>
      </w:r>
      <w:r>
        <w:rPr>
          <w:rFonts w:ascii="Liberation Serif" w:hAnsi="Liberation Serif"/>
          <w:color w:val="000000"/>
          <w:sz w:val="28"/>
          <w:szCs w:val="28"/>
        </w:rPr>
        <w:t>По традиционно сильному показателю — работе со СМИ, Костромская область допустила снижение.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В цел</w:t>
      </w:r>
      <w:r>
        <w:rPr>
          <w:rFonts w:ascii="Liberation Serif" w:hAnsi="Liberation Serif"/>
          <w:color w:val="000000"/>
          <w:sz w:val="28"/>
          <w:szCs w:val="28"/>
        </w:rPr>
        <w:t>ом, большинство Центров тестирования региона в</w:t>
      </w:r>
      <w:r>
        <w:rPr>
          <w:rFonts w:ascii="Liberation Serif" w:hAnsi="Liberation Serif"/>
          <w:color w:val="000000"/>
          <w:sz w:val="28"/>
          <w:szCs w:val="28"/>
        </w:rPr>
        <w:t xml:space="preserve"> IV-</w:t>
      </w:r>
      <w:r>
        <w:rPr>
          <w:rFonts w:ascii="Liberation Serif" w:hAnsi="Liberation Serif"/>
          <w:color w:val="000000"/>
          <w:sz w:val="28"/>
          <w:szCs w:val="28"/>
        </w:rPr>
        <w:t>м</w:t>
      </w:r>
      <w:r>
        <w:rPr>
          <w:rFonts w:ascii="Liberation Serif" w:hAnsi="Liberation Serif"/>
          <w:color w:val="000000"/>
          <w:sz w:val="28"/>
          <w:szCs w:val="28"/>
        </w:rPr>
        <w:t xml:space="preserve"> квартал</w:t>
      </w:r>
      <w:r>
        <w:rPr>
          <w:rFonts w:ascii="Liberation Serif" w:hAnsi="Liberation Serif"/>
          <w:color w:val="000000"/>
          <w:sz w:val="28"/>
          <w:szCs w:val="28"/>
        </w:rPr>
        <w:t>е</w:t>
      </w:r>
      <w:r>
        <w:rPr>
          <w:rFonts w:ascii="Liberation Serif" w:hAnsi="Liberation Serif"/>
          <w:color w:val="000000"/>
          <w:sz w:val="28"/>
          <w:szCs w:val="28"/>
        </w:rPr>
        <w:t xml:space="preserve"> 2022 года </w:t>
      </w:r>
      <w:r>
        <w:rPr>
          <w:rFonts w:ascii="Liberation Serif" w:hAnsi="Liberation Serif"/>
          <w:color w:val="000000"/>
          <w:sz w:val="28"/>
          <w:szCs w:val="28"/>
        </w:rPr>
        <w:t>поработали неплохо!</w:t>
      </w:r>
    </w:p>
    <w:p>
      <w:pPr>
        <w:pStyle w:val="Normal"/>
        <w:spacing w:lineRule="auto" w:line="240" w:before="0" w:after="0"/>
        <w:ind w:left="0" w:right="0" w:firstLine="68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Молодцы!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Анализ работы (рейтинг) Центров тестирования </w:t>
      </w:r>
      <w:r>
        <w:rPr>
          <w:rFonts w:ascii="Liberation Serif" w:hAnsi="Liberation Serif"/>
          <w:color w:val="000000"/>
          <w:sz w:val="28"/>
          <w:szCs w:val="28"/>
        </w:rPr>
        <w:t xml:space="preserve">Костромской области </w:t>
      </w:r>
      <w:r>
        <w:rPr>
          <w:rFonts w:ascii="Liberation Serif" w:hAnsi="Liberation Serif"/>
          <w:color w:val="000000"/>
          <w:sz w:val="28"/>
          <w:szCs w:val="28"/>
        </w:rPr>
        <w:t>будет представлен позже.</w:t>
      </w:r>
    </w:p>
    <w:p>
      <w:pPr>
        <w:pStyle w:val="Normal"/>
        <w:spacing w:lineRule="auto" w:line="240" w:before="0" w:after="0"/>
        <w:ind w:left="0" w:right="0" w:firstLine="683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ind w:left="0" w:right="0" w:firstLine="683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bCs/>
          <w:color w:val="000000"/>
          <w:sz w:val="28"/>
          <w:szCs w:val="28"/>
        </w:rPr>
        <w:t>Нормы ГТО — нормы жизни!!!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Style14"/>
    <w:next w:val="Style15"/>
    <w:qFormat/>
    <w:pPr>
      <w:spacing w:before="140" w:after="120"/>
      <w:outlineLvl w:val="2"/>
    </w:pPr>
    <w:rPr>
      <w:rFonts w:ascii="Liberation Serif" w:hAnsi="Liberation Serif" w:eastAsia="Segoe UI" w:cs="Tahoma"/>
      <w:b/>
      <w:bCs/>
    </w:rPr>
  </w:style>
  <w:style w:type="paragraph" w:styleId="6">
    <w:name w:val="Heading 6"/>
    <w:basedOn w:val="Style14"/>
    <w:next w:val="Style15"/>
    <w:qFormat/>
    <w:pPr>
      <w:spacing w:before="60" w:after="60"/>
      <w:outlineLvl w:val="5"/>
    </w:pPr>
    <w:rPr>
      <w:rFonts w:ascii="Liberation Serif" w:hAnsi="Liberation Serif" w:eastAsia="Segoe UI" w:cs="Tahoma"/>
      <w:b/>
      <w:b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Интернет-ссылка"/>
    <w:basedOn w:val="DefaultParagraphFont"/>
    <w:uiPriority w:val="99"/>
    <w:semiHidden/>
    <w:unhideWhenUsed/>
    <w:rsid w:val="00e56e34"/>
    <w:rPr>
      <w:color w:val="0000FF"/>
      <w:u w:val="single"/>
    </w:rPr>
  </w:style>
  <w:style w:type="character" w:styleId="Style13" w:customStyle="1">
    <w:name w:val="Посещённая гиперссылка"/>
    <w:rPr>
      <w:color w:val="800000"/>
      <w:u w:val="single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pPr>
      <w:ind w:firstLine="709"/>
      <w:jc w:val="both"/>
    </w:pPr>
    <w:rPr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Application>LibreOffice/6.4.7.2$Linux_X86_64 LibreOffice_project/40$Build-2</Application>
  <Pages>2</Pages>
  <Words>554</Words>
  <Characters>3457</Characters>
  <CharactersWithSpaces>3997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2022-07-25T09:24:00Z</dcterms:created>
  <dc:creator>ГТО</dc:creator>
  <dc:description/>
  <dc:language>ru-RU</dc:language>
  <cp:lastModifiedBy/>
  <dcterms:modified xsi:type="dcterms:W3CDTF">2023-02-01T17:02:33Z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